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8F" w:rsidRDefault="00FD148F">
      <w:pPr>
        <w:pBdr>
          <w:top w:val="none" w:sz="0" w:space="0" w:color="auto"/>
          <w:left w:val="none" w:sz="0" w:space="0" w:color="auto"/>
          <w:bottom w:val="none" w:sz="0" w:space="0" w:color="auto"/>
          <w:right w:val="none" w:sz="0" w:space="0" w:color="auto"/>
          <w:bar w:val="none" w:sz="0" w:color="auto"/>
        </w:pBdr>
        <w:rPr>
          <w:rStyle w:val="Hyperlink0"/>
          <w:rFonts w:cs="Arial Unicode MS"/>
          <w:sz w:val="28"/>
          <w:szCs w:val="28"/>
        </w:rPr>
      </w:pPr>
      <w:hyperlink r:id="rId7" w:history="1">
        <w:r>
          <w:rPr>
            <w:rStyle w:val="Hyperlink0"/>
            <w:rFonts w:cs="Arial Unicode MS"/>
            <w:sz w:val="28"/>
            <w:szCs w:val="28"/>
          </w:rPr>
          <w:t>https://www.ncbi.nlm.nih.gov/books/NBK343489/</w:t>
        </w:r>
      </w:hyperlink>
    </w:p>
    <w:p w:rsidR="00FD148F" w:rsidRPr="001E0B75" w:rsidRDefault="00FD148F" w:rsidP="001E0B75">
      <w:pPr>
        <w:pBdr>
          <w:top w:val="none" w:sz="0" w:space="0" w:color="auto"/>
          <w:left w:val="none" w:sz="0" w:space="0" w:color="auto"/>
          <w:bottom w:val="none" w:sz="0" w:space="0" w:color="auto"/>
          <w:right w:val="none" w:sz="0" w:space="0" w:color="auto"/>
          <w:bar w:val="none" w:sz="0" w:color="auto"/>
        </w:pBdr>
        <w:shd w:val="clear" w:color="auto" w:fill="FFFFFF"/>
        <w:spacing w:before="240" w:after="120" w:line="324" w:lineRule="atLeast"/>
        <w:outlineLvl w:val="0"/>
        <w:rPr>
          <w:rFonts w:ascii="Arial" w:eastAsia="新細明體" w:hAnsi="Arial" w:cs="Arial"/>
          <w:b/>
          <w:bCs/>
          <w:kern w:val="36"/>
          <w:sz w:val="37"/>
          <w:szCs w:val="37"/>
        </w:rPr>
      </w:pPr>
      <w:r w:rsidRPr="001E0B75">
        <w:rPr>
          <w:rFonts w:ascii="Arial" w:eastAsia="新細明體" w:hAnsi="Arial" w:cs="Arial"/>
          <w:b/>
          <w:bCs/>
          <w:kern w:val="36"/>
          <w:sz w:val="37"/>
        </w:rPr>
        <w:t>The Role of Lipids and Lipoproteins in Atherosclerosis</w:t>
      </w:r>
    </w:p>
    <w:p w:rsidR="00FD148F" w:rsidRPr="001E0B75" w:rsidRDefault="00FD148F" w:rsidP="001E0B75">
      <w:pPr>
        <w:pBdr>
          <w:top w:val="none" w:sz="0" w:space="0" w:color="auto"/>
          <w:left w:val="none" w:sz="0" w:space="0" w:color="auto"/>
          <w:bottom w:val="none" w:sz="0" w:space="0" w:color="auto"/>
          <w:right w:val="none" w:sz="0" w:space="0" w:color="auto"/>
          <w:bar w:val="none" w:sz="0" w:color="auto"/>
        </w:pBdr>
        <w:shd w:val="clear" w:color="auto" w:fill="FFFFFF"/>
        <w:spacing w:before="166" w:after="166" w:line="270" w:lineRule="atLeast"/>
        <w:rPr>
          <w:rFonts w:ascii="Arial" w:eastAsia="新細明體" w:hAnsi="Arial" w:cs="Arial"/>
          <w:sz w:val="19"/>
          <w:szCs w:val="19"/>
        </w:rPr>
      </w:pPr>
      <w:r w:rsidRPr="001E0B75">
        <w:rPr>
          <w:rFonts w:ascii="Arial" w:eastAsia="新細明體" w:hAnsi="Arial" w:cs="Arial"/>
          <w:sz w:val="19"/>
          <w:szCs w:val="19"/>
        </w:rPr>
        <w:t>MacRae F Linton, MD,</w:t>
      </w:r>
      <w:r w:rsidRPr="001E0B75">
        <w:rPr>
          <w:rFonts w:ascii="Arial" w:eastAsia="新細明體" w:hAnsi="Arial" w:cs="Arial"/>
          <w:sz w:val="19"/>
        </w:rPr>
        <w:t> </w:t>
      </w:r>
      <w:r w:rsidRPr="001E0B75">
        <w:rPr>
          <w:rFonts w:ascii="Arial" w:eastAsia="新細明體" w:hAnsi="Arial" w:cs="Arial"/>
          <w:sz w:val="19"/>
          <w:szCs w:val="19"/>
        </w:rPr>
        <w:t>Patricia G Yancey, PhD,</w:t>
      </w:r>
      <w:r w:rsidRPr="001E0B75">
        <w:rPr>
          <w:rFonts w:ascii="Arial" w:eastAsia="新細明體" w:hAnsi="Arial" w:cs="Arial"/>
          <w:sz w:val="19"/>
        </w:rPr>
        <w:t> </w:t>
      </w:r>
      <w:r w:rsidRPr="001E0B75">
        <w:rPr>
          <w:rFonts w:ascii="Arial" w:eastAsia="新細明體" w:hAnsi="Arial" w:cs="Arial"/>
          <w:sz w:val="19"/>
          <w:szCs w:val="19"/>
        </w:rPr>
        <w:t>Sean S Davies, PhD,</w:t>
      </w:r>
      <w:r w:rsidRPr="001E0B75">
        <w:rPr>
          <w:rFonts w:ascii="Arial" w:eastAsia="新細明體" w:hAnsi="Arial" w:cs="Arial"/>
          <w:sz w:val="19"/>
        </w:rPr>
        <w:t> </w:t>
      </w:r>
      <w:r w:rsidRPr="001E0B75">
        <w:rPr>
          <w:rFonts w:ascii="Arial" w:eastAsia="新細明體" w:hAnsi="Arial" w:cs="Arial"/>
          <w:sz w:val="19"/>
          <w:szCs w:val="19"/>
        </w:rPr>
        <w:t>W. Gray Jerome, PhD,</w:t>
      </w:r>
      <w:r w:rsidRPr="001E0B75">
        <w:rPr>
          <w:rFonts w:ascii="Arial" w:eastAsia="新細明體" w:hAnsi="Arial" w:cs="Arial"/>
          <w:sz w:val="19"/>
        </w:rPr>
        <w:t> </w:t>
      </w:r>
      <w:r w:rsidRPr="001E0B75">
        <w:rPr>
          <w:rFonts w:ascii="Arial" w:eastAsia="新細明體" w:hAnsi="Arial" w:cs="Arial"/>
          <w:sz w:val="19"/>
          <w:szCs w:val="19"/>
        </w:rPr>
        <w:t>Edward F Linton, MD,</w:t>
      </w:r>
      <w:r w:rsidRPr="001E0B75">
        <w:rPr>
          <w:rFonts w:ascii="Arial" w:eastAsia="新細明體" w:hAnsi="Arial" w:cs="Arial"/>
          <w:sz w:val="19"/>
        </w:rPr>
        <w:t> </w:t>
      </w:r>
      <w:r w:rsidRPr="001E0B75">
        <w:rPr>
          <w:rFonts w:ascii="Arial" w:eastAsia="新細明體" w:hAnsi="Arial" w:cs="Arial"/>
          <w:sz w:val="19"/>
          <w:szCs w:val="19"/>
        </w:rPr>
        <w:t>Wenliang L Song, MD,</w:t>
      </w:r>
      <w:r w:rsidRPr="001E0B75">
        <w:rPr>
          <w:rFonts w:ascii="Arial" w:eastAsia="新細明體" w:hAnsi="Arial" w:cs="Arial"/>
          <w:sz w:val="19"/>
        </w:rPr>
        <w:t> </w:t>
      </w:r>
      <w:r w:rsidRPr="001E0B75">
        <w:rPr>
          <w:rFonts w:ascii="Arial" w:eastAsia="新細明體" w:hAnsi="Arial" w:cs="Arial"/>
          <w:sz w:val="19"/>
          <w:szCs w:val="19"/>
        </w:rPr>
        <w:t>Amanda C Doran, PhD, MD, and</w:t>
      </w:r>
      <w:r w:rsidRPr="001E0B75">
        <w:rPr>
          <w:rFonts w:ascii="Arial" w:eastAsia="新細明體" w:hAnsi="Arial" w:cs="Arial"/>
          <w:sz w:val="19"/>
        </w:rPr>
        <w:t> </w:t>
      </w:r>
      <w:r w:rsidRPr="001E0B75">
        <w:rPr>
          <w:rFonts w:ascii="Arial" w:eastAsia="新細明體" w:hAnsi="Arial" w:cs="Arial"/>
          <w:sz w:val="19"/>
          <w:szCs w:val="19"/>
        </w:rPr>
        <w:t>Kasey C Vickers, PhD.</w:t>
      </w:r>
    </w:p>
    <w:p w:rsidR="00FD148F" w:rsidRPr="001E0B75" w:rsidRDefault="00FD148F" w:rsidP="001E0B75">
      <w:pPr>
        <w:numPr>
          <w:ilvl w:val="0"/>
          <w:numId w:val="1"/>
        </w:numPr>
        <w:pBdr>
          <w:top w:val="none" w:sz="0" w:space="0" w:color="auto"/>
          <w:left w:val="none" w:sz="0" w:space="0" w:color="auto"/>
          <w:bottom w:val="none" w:sz="0" w:space="0" w:color="auto"/>
          <w:right w:val="none" w:sz="0" w:space="0" w:color="auto"/>
          <w:bar w:val="none" w:sz="0" w:color="auto"/>
        </w:pBdr>
        <w:shd w:val="clear" w:color="auto" w:fill="FFFFFF"/>
        <w:spacing w:before="100" w:beforeAutospacing="1" w:after="100" w:afterAutospacing="1" w:line="270" w:lineRule="atLeast"/>
        <w:ind w:left="240" w:right="72"/>
        <w:rPr>
          <w:rFonts w:ascii="Arial" w:hAnsi="Arial" w:cs="Arial"/>
          <w:sz w:val="20"/>
          <w:szCs w:val="20"/>
        </w:rPr>
      </w:pPr>
      <w:r w:rsidRPr="001E0B75">
        <w:rPr>
          <w:rFonts w:ascii="Arial" w:eastAsia="新細明體" w:hAnsi="Arial" w:cs="Arial"/>
          <w:sz w:val="20"/>
          <w:szCs w:val="20"/>
        </w:rPr>
        <w:t>Created:</w:t>
      </w:r>
      <w:r w:rsidRPr="001E0B75">
        <w:rPr>
          <w:rFonts w:ascii="Arial" w:eastAsia="新細明體" w:hAnsi="Arial" w:cs="Arial"/>
          <w:sz w:val="20"/>
        </w:rPr>
        <w:t> </w:t>
      </w:r>
      <w:r w:rsidRPr="001E0B75">
        <w:rPr>
          <w:rFonts w:ascii="Arial" w:eastAsia="新細明體" w:hAnsi="Arial" w:cs="Arial"/>
          <w:sz w:val="20"/>
          <w:szCs w:val="20"/>
        </w:rPr>
        <w:t>January 3, 2019.</w:t>
      </w:r>
      <w:r>
        <w:rPr>
          <w:rFonts w:ascii="Arial" w:eastAsia="新細明體" w:hAnsi="Arial" w:cs="Arial"/>
          <w:sz w:val="20"/>
          <w:szCs w:val="20"/>
        </w:rPr>
        <w:t xml:space="preserve">   </w:t>
      </w:r>
      <w:hyperlink r:id="rId8" w:history="1">
        <w:r>
          <w:rPr>
            <w:rStyle w:val="Hyperlink"/>
            <w:rFonts w:ascii="Arial" w:hAnsi="Arial" w:cs="Arial"/>
            <w:color w:val="642A8F"/>
            <w:sz w:val="20"/>
            <w:szCs w:val="20"/>
          </w:rPr>
          <w:t>www.endotext.org</w:t>
        </w:r>
      </w:hyperlink>
    </w:p>
    <w:p w:rsidR="00FD148F" w:rsidRDefault="00FD148F" w:rsidP="001E0B75">
      <w:pPr>
        <w:pStyle w:val="a"/>
        <w:pBdr>
          <w:top w:val="none" w:sz="0" w:space="0" w:color="auto"/>
          <w:left w:val="none" w:sz="0" w:space="0" w:color="auto"/>
          <w:bottom w:val="none" w:sz="0" w:space="0" w:color="auto"/>
          <w:right w:val="none" w:sz="0" w:space="0" w:color="auto"/>
          <w:bar w:val="none" w:sz="0" w:color="auto"/>
        </w:pBdr>
        <w:jc w:val="center"/>
      </w:pPr>
      <w:r>
        <w:t>Levels of LDL-C, ApoB-100, Non-HDL Cholesterol and LDL-P as Markers for ASCVD Risk.</w:t>
      </w:r>
    </w:p>
    <w:p w:rsidR="00FD148F" w:rsidRPr="001E0B75" w:rsidRDefault="00FD148F">
      <w:pPr>
        <w:pStyle w:val="a0"/>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u w:color="2E4A8B"/>
          <w:shd w:val="clear" w:color="auto" w:fill="FEFFFE"/>
        </w:rPr>
      </w:pPr>
      <w:r w:rsidRPr="001E0B75">
        <w:rPr>
          <w:rFonts w:ascii="Times New Roman" w:hAnsi="Times New Roman" w:cs="Times New Roman"/>
          <w:sz w:val="28"/>
          <w:szCs w:val="28"/>
          <w:u w:color="2E4A8B"/>
          <w:shd w:val="clear" w:color="auto" w:fill="FEFFFE"/>
        </w:rPr>
        <w:tab/>
      </w:r>
      <w:r w:rsidRPr="001E0B75">
        <w:rPr>
          <w:rFonts w:ascii="Times New Roman" w:hAnsi="Times New Roman"/>
          <w:sz w:val="28"/>
          <w:szCs w:val="28"/>
          <w:u w:color="2E4A8B"/>
          <w:shd w:val="clear" w:color="auto" w:fill="FEFFFE"/>
        </w:rPr>
        <w:t xml:space="preserve">Based on the strength of the direct association of LDL-C levels and risk for ASCVD, the guidelines for treatment of hypercholesterolemia have focused on LDL-C levels for risk assessment, stratification and treatment recommendations. Indeed, the terms LDL-C and LDL are often, though incorrectly, used interchangeably in practice. It is important to understand that LDL is a collection of particles defined by density (d = 1.019 – </w:t>
      </w:r>
      <w:smartTag w:uri="urn:schemas-microsoft-com:office:smarttags" w:element="chmetcnv">
        <w:smartTagPr>
          <w:attr w:name="TCSC" w:val="0"/>
          <w:attr w:name="NumberType" w:val="1"/>
          <w:attr w:name="Negative" w:val="False"/>
          <w:attr w:name="HasSpace" w:val="True"/>
          <w:attr w:name="SourceValue" w:val="1.063"/>
          <w:attr w:name="UnitName" w:val="g"/>
        </w:smartTagPr>
        <w:r w:rsidRPr="001E0B75">
          <w:rPr>
            <w:rFonts w:ascii="Times New Roman" w:hAnsi="Times New Roman"/>
            <w:sz w:val="28"/>
            <w:szCs w:val="28"/>
            <w:u w:color="2E4A8B"/>
            <w:shd w:val="clear" w:color="auto" w:fill="FEFFFE"/>
          </w:rPr>
          <w:t>1.063 g</w:t>
        </w:r>
      </w:smartTag>
      <w:r w:rsidRPr="001E0B75">
        <w:rPr>
          <w:rFonts w:ascii="Times New Roman" w:hAnsi="Times New Roman"/>
          <w:sz w:val="28"/>
          <w:szCs w:val="28"/>
          <w:u w:color="2E4A8B"/>
          <w:shd w:val="clear" w:color="auto" w:fill="FEFFFE"/>
        </w:rPr>
        <w:t>/ml) that are heterogeneous, consisting of a large variety of lipids and proteins (</w:t>
      </w:r>
      <w:r w:rsidRPr="001E0B75">
        <w:rPr>
          <w:rFonts w:ascii="Times New Roman" w:hAnsi="Times New Roman"/>
          <w:color w:val="2E4A8B"/>
          <w:sz w:val="28"/>
          <w:szCs w:val="28"/>
          <w:u w:val="single" w:color="2E4A8B"/>
          <w:shd w:val="clear" w:color="auto" w:fill="FEFFFE"/>
        </w:rPr>
        <w:t>459</w:t>
      </w:r>
      <w:r w:rsidRPr="001E0B75">
        <w:rPr>
          <w:rFonts w:ascii="Times New Roman" w:hAnsi="Times New Roman"/>
          <w:sz w:val="28"/>
          <w:szCs w:val="28"/>
          <w:u w:color="2E4A8B"/>
          <w:shd w:val="clear" w:color="auto" w:fill="FEFFFE"/>
        </w:rPr>
        <w:t xml:space="preserve">). In addition, LDL particles vary in size and cholesterol content. The relationship between LDL-C levels and risk for ASCVD is </w:t>
      </w:r>
      <w:r w:rsidRPr="001E0B75">
        <w:rPr>
          <w:rFonts w:ascii="Times New Roman" w:hAnsi="Times New Roman"/>
          <w:sz w:val="28"/>
          <w:szCs w:val="28"/>
          <w:u w:color="2E4A8B"/>
          <w:shd w:val="clear" w:color="auto" w:fill="FEFFFE"/>
          <w:rtl/>
          <w:lang w:val="ar-SA"/>
        </w:rPr>
        <w:t>“</w:t>
      </w:r>
      <w:r w:rsidRPr="001E0B75">
        <w:rPr>
          <w:rFonts w:ascii="Times New Roman" w:hAnsi="Times New Roman"/>
          <w:sz w:val="28"/>
          <w:szCs w:val="28"/>
          <w:u w:color="2E4A8B"/>
          <w:shd w:val="clear" w:color="auto" w:fill="FEFFFE"/>
        </w:rPr>
        <w:t>J-shaped”, and the predictive value of LDL-C levels is better at higher levels of LDL-C. Surprisingly, the majority of subjects presenting to the hospital with acute coronary artery syndrome do not have elevated levels of LDL-C, but tend to have low levels of HDL-C and elevated triglycerides (</w:t>
      </w:r>
      <w:r w:rsidRPr="001E0B75">
        <w:rPr>
          <w:rFonts w:ascii="Times New Roman" w:hAnsi="Times New Roman"/>
          <w:color w:val="2E4A8B"/>
          <w:sz w:val="28"/>
          <w:szCs w:val="28"/>
          <w:u w:val="single" w:color="2E4A8B"/>
          <w:shd w:val="clear" w:color="auto" w:fill="FEFFFE"/>
        </w:rPr>
        <w:t>460</w:t>
      </w:r>
      <w:r w:rsidRPr="001E0B75">
        <w:rPr>
          <w:rFonts w:ascii="Times New Roman" w:hAnsi="Times New Roman"/>
          <w:sz w:val="28"/>
          <w:szCs w:val="28"/>
          <w:u w:color="2E4A8B"/>
          <w:shd w:val="clear" w:color="auto" w:fill="FEFFFE"/>
        </w:rPr>
        <w:t>). There has been tremendous interest in whether other measures of LDL, including subpopulations, apoB100, or particle number, might serve as a better predictors of CVE than quantifying LDL cholesterol content.</w:t>
      </w:r>
    </w:p>
    <w:p w:rsidR="00FD148F" w:rsidRPr="001E0B75" w:rsidRDefault="00FD148F">
      <w:pPr>
        <w:pStyle w:val="a0"/>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u w:color="2E4A8B"/>
          <w:shd w:val="clear" w:color="auto" w:fill="FEFFFE"/>
        </w:rPr>
      </w:pPr>
      <w:r w:rsidRPr="001E0B75">
        <w:rPr>
          <w:rFonts w:ascii="Times New Roman" w:hAnsi="Times New Roman" w:cs="Times New Roman"/>
          <w:sz w:val="28"/>
          <w:szCs w:val="28"/>
          <w:u w:color="2E4A8B"/>
          <w:shd w:val="clear" w:color="auto" w:fill="FEFFFE"/>
        </w:rPr>
        <w:tab/>
      </w:r>
      <w:r w:rsidRPr="001E0B75">
        <w:rPr>
          <w:rFonts w:ascii="Times New Roman" w:hAnsi="Times New Roman"/>
          <w:sz w:val="28"/>
          <w:szCs w:val="28"/>
          <w:u w:color="2E4A8B"/>
          <w:shd w:val="clear" w:color="auto" w:fill="FEFFFE"/>
        </w:rPr>
        <w:t>Groundbreaking studies by Krauss and co-workers (</w:t>
      </w:r>
      <w:r w:rsidRPr="001E0B75">
        <w:rPr>
          <w:rFonts w:ascii="Times New Roman" w:hAnsi="Times New Roman"/>
          <w:color w:val="2E4A8B"/>
          <w:sz w:val="28"/>
          <w:szCs w:val="28"/>
          <w:u w:val="single" w:color="2E4A8B"/>
          <w:shd w:val="clear" w:color="auto" w:fill="FEFFFE"/>
        </w:rPr>
        <w:t>461</w:t>
      </w:r>
      <w:r w:rsidRPr="001E0B75">
        <w:rPr>
          <w:rFonts w:ascii="Times New Roman" w:hAnsi="Times New Roman"/>
          <w:sz w:val="28"/>
          <w:szCs w:val="28"/>
          <w:u w:color="2E4A8B"/>
          <w:shd w:val="clear" w:color="auto" w:fill="FEFFFE"/>
        </w:rPr>
        <w:t>) described two major patterns for LDL subpopulations based on size and density of the LDL particles. Pattern A is characterized by large buoyant LDL (lbLDL) particles, whereas Pattern B is associated with small dense LDL (sdLDL). Importantly, sdLDL is associated with increased triglyceride levels and low HDL-C, which is referred to as the lipid triad, a phenotype common in insulin resistance. Hence, Pattern B is commonly seen in subjects with obesity, metabolic syndrome and type 2 diabetes mellitus. A number of studies have reported that Pattern B is associated with an increased risk of CVE (</w:t>
      </w:r>
      <w:r w:rsidRPr="001E0B75">
        <w:rPr>
          <w:rFonts w:ascii="Times New Roman" w:hAnsi="Times New Roman"/>
          <w:color w:val="2E4A8B"/>
          <w:sz w:val="28"/>
          <w:szCs w:val="28"/>
          <w:u w:val="single" w:color="2E4A8B"/>
          <w:shd w:val="clear" w:color="auto" w:fill="FEFFFE"/>
        </w:rPr>
        <w:t>462</w:t>
      </w:r>
      <w:r w:rsidRPr="001E0B75">
        <w:rPr>
          <w:rFonts w:ascii="Times New Roman" w:hAnsi="Times New Roman"/>
          <w:sz w:val="28"/>
          <w:szCs w:val="28"/>
          <w:u w:color="2E4A8B"/>
          <w:shd w:val="clear" w:color="auto" w:fill="FEFFFE"/>
        </w:rPr>
        <w:t>). Several different approaches have been used to characterize LDL phenotypes, including gradient gel electrophoresis, ultracentrifugation (sequential and vertical), ion mobility and nuclear magnetic resonance (NMR) (</w:t>
      </w:r>
      <w:r w:rsidRPr="001E0B75">
        <w:rPr>
          <w:rFonts w:ascii="Times New Roman" w:hAnsi="Times New Roman"/>
          <w:color w:val="2E4A8B"/>
          <w:sz w:val="28"/>
          <w:szCs w:val="28"/>
          <w:u w:val="single" w:color="2E4A8B"/>
          <w:shd w:val="clear" w:color="auto" w:fill="FEFFFE"/>
        </w:rPr>
        <w:t>462</w:t>
      </w:r>
      <w:r w:rsidRPr="001E0B75">
        <w:rPr>
          <w:rFonts w:ascii="Times New Roman" w:hAnsi="Times New Roman"/>
          <w:sz w:val="28"/>
          <w:szCs w:val="28"/>
          <w:u w:color="2E4A8B"/>
          <w:shd w:val="clear" w:color="auto" w:fill="FEFFFE"/>
        </w:rPr>
        <w:t>,</w:t>
      </w:r>
      <w:r w:rsidRPr="001E0B75">
        <w:rPr>
          <w:rFonts w:ascii="Times New Roman" w:hAnsi="Times New Roman"/>
          <w:color w:val="2E4A8B"/>
          <w:sz w:val="28"/>
          <w:szCs w:val="28"/>
          <w:u w:val="single" w:color="2E4A8B"/>
          <w:shd w:val="clear" w:color="auto" w:fill="FEFFFE"/>
        </w:rPr>
        <w:t>463</w:t>
      </w:r>
      <w:r w:rsidRPr="001E0B75">
        <w:rPr>
          <w:rFonts w:ascii="Times New Roman" w:hAnsi="Times New Roman"/>
          <w:sz w:val="28"/>
          <w:szCs w:val="28"/>
          <w:u w:color="2E4A8B"/>
          <w:shd w:val="clear" w:color="auto" w:fill="FEFFFE"/>
        </w:rPr>
        <w:t>). A number of mechanisms have been proposed to underlie the proatherogenic properties of sdLDL, including increased susceptibility of oxidation (</w:t>
      </w:r>
      <w:r w:rsidRPr="001E0B75">
        <w:rPr>
          <w:rFonts w:ascii="Times New Roman" w:hAnsi="Times New Roman"/>
          <w:color w:val="2E4A8B"/>
          <w:sz w:val="28"/>
          <w:szCs w:val="28"/>
          <w:u w:val="single" w:color="2E4A8B"/>
          <w:shd w:val="clear" w:color="auto" w:fill="FEFFFE"/>
        </w:rPr>
        <w:t>464</w:t>
      </w:r>
      <w:r w:rsidRPr="001E0B75">
        <w:rPr>
          <w:rFonts w:ascii="Times New Roman" w:hAnsi="Times New Roman"/>
          <w:sz w:val="28"/>
          <w:szCs w:val="28"/>
          <w:u w:color="2E4A8B"/>
          <w:shd w:val="clear" w:color="auto" w:fill="FEFFFE"/>
        </w:rPr>
        <w:t>) and glycation (</w:t>
      </w:r>
      <w:r w:rsidRPr="001E0B75">
        <w:rPr>
          <w:rFonts w:ascii="Times New Roman" w:hAnsi="Times New Roman"/>
          <w:color w:val="2E4A8B"/>
          <w:sz w:val="28"/>
          <w:szCs w:val="28"/>
          <w:u w:val="single" w:color="2E4A8B"/>
          <w:shd w:val="clear" w:color="auto" w:fill="FEFFFE"/>
        </w:rPr>
        <w:t>465</w:t>
      </w:r>
      <w:r w:rsidRPr="001E0B75">
        <w:rPr>
          <w:rFonts w:ascii="Times New Roman" w:hAnsi="Times New Roman"/>
          <w:sz w:val="28"/>
          <w:szCs w:val="28"/>
          <w:u w:color="2E4A8B"/>
          <w:shd w:val="clear" w:color="auto" w:fill="FEFFFE"/>
        </w:rPr>
        <w:t>), promoting arterial retention and increased macrophage foam cell formation. Cholesteryl ester transfer protein (CETP), which transfers CE from HDL to VLDL/LDL and triglycerides in the opposite direction, and hepatic lipase, which hydrolyses triglycerides, impacts the lipid composition and size of sdLDL. As such, increased levels of sdLDL have the potential to provide additional information regarding risk of CVE in individuals with normal LDL-C levels but elevated triglycerides and low HDL. Alternatively, it has been proposed that the real impact of sdLDL is due to increased LDL particle number.</w:t>
      </w:r>
    </w:p>
    <w:p w:rsidR="00FD148F" w:rsidRDefault="00FD148F">
      <w:pPr>
        <w:pStyle w:val="a0"/>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32"/>
          <w:szCs w:val="32"/>
          <w:u w:color="2E4A8B"/>
          <w:shd w:val="clear" w:color="auto" w:fill="FEFFFE"/>
        </w:rPr>
      </w:pPr>
      <w:r w:rsidRPr="001E0B75">
        <w:rPr>
          <w:rFonts w:ascii="Times New Roman" w:hAnsi="Times New Roman" w:cs="Times New Roman"/>
          <w:sz w:val="28"/>
          <w:szCs w:val="28"/>
          <w:u w:color="2E4A8B"/>
          <w:shd w:val="clear" w:color="auto" w:fill="FEFFFE"/>
        </w:rPr>
        <w:tab/>
      </w:r>
      <w:r w:rsidRPr="001E0B75">
        <w:rPr>
          <w:rFonts w:ascii="Times New Roman" w:hAnsi="Times New Roman"/>
          <w:sz w:val="28"/>
          <w:szCs w:val="28"/>
          <w:u w:color="2E4A8B"/>
          <w:shd w:val="clear" w:color="auto" w:fill="FEFFFE"/>
        </w:rPr>
        <w:t>Each LDL particle contains one molecule of apoB100, and the majority of apoB</w:t>
      </w:r>
      <w:smartTag w:uri="urn:schemas-microsoft-com:office:smarttags" w:element="chmetcnv">
        <w:smartTagPr>
          <w:attr w:name="TCSC" w:val="0"/>
          <w:attr w:name="NumberType" w:val="1"/>
          <w:attr w:name="Negative" w:val="False"/>
          <w:attr w:name="HasSpace" w:val="True"/>
          <w:attr w:name="SourceValue" w:val="100"/>
          <w:attr w:name="UnitName" w:val="in"/>
        </w:smartTagPr>
        <w:r w:rsidRPr="001E0B75">
          <w:rPr>
            <w:rFonts w:ascii="Times New Roman" w:hAnsi="Times New Roman"/>
            <w:sz w:val="28"/>
            <w:szCs w:val="28"/>
            <w:u w:color="2E4A8B"/>
            <w:shd w:val="clear" w:color="auto" w:fill="FEFFFE"/>
          </w:rPr>
          <w:t>100 in</w:t>
        </w:r>
      </w:smartTag>
      <w:r w:rsidRPr="001E0B75">
        <w:rPr>
          <w:rFonts w:ascii="Times New Roman" w:hAnsi="Times New Roman"/>
          <w:sz w:val="28"/>
          <w:szCs w:val="28"/>
          <w:u w:color="2E4A8B"/>
          <w:shd w:val="clear" w:color="auto" w:fill="FEFFFE"/>
        </w:rPr>
        <w:t xml:space="preserve"> plasma is on LDL particles (</w:t>
      </w:r>
      <w:r w:rsidRPr="001E0B75">
        <w:rPr>
          <w:rFonts w:ascii="Times New Roman" w:hAnsi="Times New Roman"/>
          <w:color w:val="2E4A8B"/>
          <w:sz w:val="28"/>
          <w:szCs w:val="28"/>
          <w:u w:val="single" w:color="2E4A8B"/>
          <w:shd w:val="clear" w:color="auto" w:fill="FEFFFE"/>
        </w:rPr>
        <w:t>466</w:t>
      </w:r>
      <w:r w:rsidRPr="001E0B75">
        <w:rPr>
          <w:rFonts w:ascii="Times New Roman" w:hAnsi="Times New Roman"/>
          <w:sz w:val="28"/>
          <w:szCs w:val="28"/>
          <w:u w:color="2E4A8B"/>
          <w:shd w:val="clear" w:color="auto" w:fill="FEFFFE"/>
        </w:rPr>
        <w:t>). Hence, levels of apoB100 correlate directly with LDL particle (LDL-P) number. A large number of studies have shown that levels of apoB100 are superior markers of ASCVD risk compared to LDL-C (</w:t>
      </w:r>
      <w:r w:rsidRPr="001E0B75">
        <w:rPr>
          <w:rFonts w:ascii="Times New Roman" w:hAnsi="Times New Roman"/>
          <w:color w:val="2E4A8B"/>
          <w:sz w:val="28"/>
          <w:szCs w:val="28"/>
          <w:u w:val="single" w:color="2E4A8B"/>
          <w:shd w:val="clear" w:color="auto" w:fill="FEFFFE"/>
        </w:rPr>
        <w:t>467</w:t>
      </w:r>
      <w:r w:rsidRPr="001E0B75">
        <w:rPr>
          <w:rFonts w:ascii="Times New Roman" w:hAnsi="Times New Roman"/>
          <w:sz w:val="28"/>
          <w:szCs w:val="28"/>
          <w:u w:color="2E4A8B"/>
          <w:shd w:val="clear" w:color="auto" w:fill="FEFFFE"/>
        </w:rPr>
        <w:t>). Because the mass of cholesterol in LDL particles varies, LDL-C levels will result in overestimation apoB levels and the number of LDL particles, when LDL particles are cholesterol-enriched (</w:t>
      </w:r>
      <w:hyperlink r:id="rId9" w:history="1">
        <w:r w:rsidRPr="001E0B75">
          <w:rPr>
            <w:rStyle w:val="Hyperlink1"/>
            <w:rFonts w:ascii="Times New Roman" w:hAnsi="Times New Roman" w:cs="Helvetica Neue"/>
            <w:sz w:val="28"/>
            <w:szCs w:val="28"/>
            <w:u w:color="2E4A8B"/>
            <w:shd w:val="clear" w:color="auto" w:fill="FEFFFE"/>
          </w:rPr>
          <w:t>Figure 8</w:t>
        </w:r>
      </w:hyperlink>
      <w:r w:rsidRPr="001E0B75">
        <w:rPr>
          <w:rFonts w:ascii="Times New Roman" w:hAnsi="Times New Roman"/>
          <w:sz w:val="28"/>
          <w:szCs w:val="28"/>
          <w:u w:color="2E4A8B"/>
          <w:shd w:val="clear" w:color="auto" w:fill="FEFFFE"/>
        </w:rPr>
        <w:t>) and underestimate apoB and LDL particle number when the particles are cholesterol depleted (</w:t>
      </w:r>
      <w:hyperlink r:id="rId10" w:history="1">
        <w:r w:rsidRPr="001E0B75">
          <w:rPr>
            <w:sz w:val="28"/>
            <w:szCs w:val="28"/>
          </w:rPr>
          <w:t>Figure</w:t>
        </w:r>
        <w:r w:rsidRPr="001E0B75">
          <w:rPr>
            <w:rStyle w:val="Hyperlink1"/>
            <w:rFonts w:ascii="Times New Roman" w:hAnsi="Times New Roman" w:cs="Helvetica Neue"/>
            <w:sz w:val="28"/>
            <w:szCs w:val="28"/>
            <w:u w:color="2E4A8B"/>
            <w:shd w:val="clear" w:color="auto" w:fill="FEFFFE"/>
          </w:rPr>
          <w:t xml:space="preserve"> 8</w:t>
        </w:r>
      </w:hyperlink>
      <w:r w:rsidRPr="001E0B75">
        <w:rPr>
          <w:rFonts w:ascii="Times New Roman" w:hAnsi="Times New Roman"/>
          <w:sz w:val="28"/>
          <w:szCs w:val="28"/>
          <w:u w:color="2E4A8B"/>
          <w:shd w:val="clear" w:color="auto" w:fill="FEFFFE"/>
        </w:rPr>
        <w:t>)(</w:t>
      </w:r>
      <w:r w:rsidRPr="001E0B75">
        <w:rPr>
          <w:rStyle w:val="Hyperlink1"/>
          <w:rFonts w:ascii="Times New Roman" w:hAnsi="Times New Roman" w:cs="Helvetica Neue"/>
          <w:sz w:val="28"/>
          <w:szCs w:val="28"/>
          <w:u w:color="2E4A8B"/>
          <w:shd w:val="clear" w:color="auto" w:fill="FEFFFE"/>
        </w:rPr>
        <w:t>468</w:t>
      </w:r>
      <w:r w:rsidRPr="001E0B75">
        <w:rPr>
          <w:rFonts w:ascii="Times New Roman" w:hAnsi="Times New Roman"/>
          <w:sz w:val="28"/>
          <w:szCs w:val="28"/>
          <w:u w:color="2E4A8B"/>
          <w:shd w:val="clear" w:color="auto" w:fill="FEFFFE"/>
        </w:rPr>
        <w:t>)</w:t>
      </w:r>
      <w:r>
        <w:rPr>
          <w:rFonts w:ascii="Times New Roman" w:hAnsi="Times New Roman"/>
          <w:sz w:val="32"/>
          <w:szCs w:val="32"/>
          <w:u w:color="2E4A8B"/>
          <w:shd w:val="clear" w:color="auto" w:fill="FEFFFE"/>
        </w:rPr>
        <w:t>.</w:t>
      </w:r>
    </w:p>
    <w:p w:rsidR="00FD148F" w:rsidRDefault="00FD148F">
      <w:pPr>
        <w:pBdr>
          <w:top w:val="none" w:sz="0" w:space="0" w:color="auto"/>
          <w:left w:val="none" w:sz="0" w:space="0" w:color="auto"/>
          <w:bottom w:val="none" w:sz="0" w:space="0" w:color="auto"/>
          <w:right w:val="none" w:sz="0" w:space="0" w:color="auto"/>
          <w:bar w:val="none" w:sz="0" w:color="auto"/>
        </w:pBd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63pt;margin-top:34.7pt;width:396pt;height:7in;z-index:251658240;visibility:visible;mso-wrap-distance-left:12pt;mso-wrap-distance-top:12pt;mso-wrap-distance-right:12pt;mso-wrap-distance-bottom:12pt;mso-position-horizontal-relative:margin;mso-position-vertical-relative:line" strokeweight="1pt">
            <v:stroke miterlimit="4"/>
            <v:imagedata r:id="rId11" o:title=""/>
            <w10:wrap type="topAndBottom" anchorx="margin"/>
          </v:shape>
        </w:pict>
      </w:r>
    </w:p>
    <w:p w:rsidR="00FD148F" w:rsidRPr="001E0B75" w:rsidRDefault="00FD148F">
      <w:pPr>
        <w:pStyle w:val="a0"/>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u w:color="2E4A8B"/>
          <w:shd w:val="clear" w:color="auto" w:fill="FEFFFE"/>
        </w:rPr>
      </w:pPr>
      <w:r w:rsidRPr="001E0B75">
        <w:rPr>
          <w:rFonts w:ascii="Times New Roman" w:hAnsi="Times New Roman" w:cs="Times New Roman"/>
          <w:sz w:val="28"/>
          <w:szCs w:val="28"/>
          <w:u w:color="2E4A8B"/>
          <w:shd w:val="clear" w:color="auto" w:fill="FEFFFE"/>
        </w:rPr>
        <w:tab/>
        <w:t xml:space="preserve">Furthermore, all of the major atherogenic lipoproteins contain apoB (LDL, triglyceride rich remnants of VLDL, IDL, chylomicron remnants, and Lp(a)). LDL-C is routinely calculated using the Friedewald formula (LDL-C = TC </w:t>
      </w:r>
      <w:r w:rsidRPr="001E0B75">
        <w:rPr>
          <w:rFonts w:ascii="Times New Roman" w:hAnsi="Times New Roman"/>
          <w:sz w:val="28"/>
          <w:szCs w:val="28"/>
          <w:u w:color="2E4A8B"/>
          <w:shd w:val="clear" w:color="auto" w:fill="FEFFFE"/>
        </w:rPr>
        <w:t>– HDL-C – TG/5), but this formula is not accurate when serum TG levels are &gt; 400 mg/dl. It has long been recognized that LDL-C underestimates risk of ASCVD in the setting of hypertriglyceridemia (</w:t>
      </w:r>
      <w:r w:rsidRPr="001E0B75">
        <w:rPr>
          <w:rStyle w:val="Hyperlink1"/>
          <w:rFonts w:ascii="Times New Roman" w:hAnsi="Times New Roman" w:cs="Helvetica Neue"/>
          <w:sz w:val="28"/>
          <w:szCs w:val="28"/>
          <w:u w:color="2E4A8B"/>
          <w:shd w:val="clear" w:color="auto" w:fill="FEFFFE"/>
        </w:rPr>
        <w:t>467</w:t>
      </w:r>
      <w:r w:rsidRPr="001E0B75">
        <w:rPr>
          <w:rFonts w:ascii="Times New Roman" w:hAnsi="Times New Roman"/>
          <w:sz w:val="28"/>
          <w:szCs w:val="28"/>
          <w:u w:color="2E4A8B"/>
          <w:shd w:val="clear" w:color="auto" w:fill="FEFFFE"/>
        </w:rPr>
        <w:t>). Non-HDL cholesterol is the mass of cholesterol in all of the apoB-containing particles: Non-HDL-C = TC – HDL-C. The ATPIII guidelines recommended using Non-HDL-C to estimate risk of ASCVD, when TG &gt; 200 mg/dL (</w:t>
      </w:r>
      <w:r w:rsidRPr="001E0B75">
        <w:rPr>
          <w:rStyle w:val="Hyperlink1"/>
          <w:rFonts w:ascii="Times New Roman" w:hAnsi="Times New Roman" w:cs="Helvetica Neue"/>
          <w:sz w:val="28"/>
          <w:szCs w:val="28"/>
          <w:u w:color="2E4A8B"/>
          <w:shd w:val="clear" w:color="auto" w:fill="FEFFFE"/>
        </w:rPr>
        <w:t>469</w:t>
      </w:r>
      <w:r w:rsidRPr="001E0B75">
        <w:rPr>
          <w:rFonts w:ascii="Times New Roman" w:hAnsi="Times New Roman"/>
          <w:sz w:val="28"/>
          <w:szCs w:val="28"/>
          <w:u w:color="2E4A8B"/>
          <w:shd w:val="clear" w:color="auto" w:fill="FEFFFE"/>
        </w:rPr>
        <w:t>,</w:t>
      </w:r>
      <w:r w:rsidRPr="001E0B75">
        <w:rPr>
          <w:rStyle w:val="Hyperlink1"/>
          <w:rFonts w:ascii="Times New Roman" w:hAnsi="Times New Roman" w:cs="Helvetica Neue"/>
          <w:sz w:val="28"/>
          <w:szCs w:val="28"/>
          <w:u w:color="2E4A8B"/>
          <w:shd w:val="clear" w:color="auto" w:fill="FEFFFE"/>
        </w:rPr>
        <w:t>470</w:t>
      </w:r>
      <w:r w:rsidRPr="001E0B75">
        <w:rPr>
          <w:rFonts w:ascii="Times New Roman" w:hAnsi="Times New Roman"/>
          <w:sz w:val="28"/>
          <w:szCs w:val="28"/>
          <w:u w:color="2E4A8B"/>
          <w:shd w:val="clear" w:color="auto" w:fill="FEFFFE"/>
        </w:rPr>
        <w:t xml:space="preserve">). A meta-analysis by Sniderman </w:t>
      </w:r>
      <w:r w:rsidRPr="001E0B75">
        <w:rPr>
          <w:rStyle w:val="a1"/>
          <w:rFonts w:ascii="Times New Roman" w:hAnsi="Times New Roman"/>
          <w:i/>
          <w:iCs/>
          <w:sz w:val="28"/>
          <w:szCs w:val="28"/>
          <w:u w:color="2E4A8B"/>
          <w:shd w:val="clear" w:color="auto" w:fill="FEFFFE"/>
        </w:rPr>
        <w:t>et al.</w:t>
      </w:r>
      <w:r w:rsidRPr="001E0B75">
        <w:rPr>
          <w:rFonts w:ascii="Times New Roman" w:hAnsi="Times New Roman"/>
          <w:sz w:val="28"/>
          <w:szCs w:val="28"/>
          <w:u w:color="2E4A8B"/>
          <w:shd w:val="clear" w:color="auto" w:fill="FEFFFE"/>
        </w:rPr>
        <w:t xml:space="preserve"> found that Non-HDL-C was a slightly better marker of ASCVD risk than LDL-C, but apoB was far superior to Non-HDL-C (</w:t>
      </w:r>
      <w:r w:rsidRPr="001E0B75">
        <w:rPr>
          <w:rStyle w:val="Hyperlink1"/>
          <w:rFonts w:ascii="Times New Roman" w:hAnsi="Times New Roman" w:cs="Helvetica Neue"/>
          <w:sz w:val="28"/>
          <w:szCs w:val="28"/>
          <w:u w:color="2E4A8B"/>
          <w:shd w:val="clear" w:color="auto" w:fill="FEFFFE"/>
        </w:rPr>
        <w:t>471</w:t>
      </w:r>
      <w:r w:rsidRPr="001E0B75">
        <w:rPr>
          <w:rFonts w:ascii="Times New Roman" w:hAnsi="Times New Roman"/>
          <w:sz w:val="28"/>
          <w:szCs w:val="28"/>
          <w:u w:color="2E4A8B"/>
          <w:shd w:val="clear" w:color="auto" w:fill="FEFFFE"/>
        </w:rPr>
        <w:t xml:space="preserve">). NMR spectroscopy is another way to measure LDL-P concentrations. </w:t>
      </w:r>
      <w:hyperlink r:id="rId12" w:history="1">
        <w:r w:rsidRPr="001E0B75">
          <w:rPr>
            <w:rStyle w:val="Hyperlink1"/>
            <w:rFonts w:ascii="Times New Roman" w:hAnsi="Times New Roman" w:cs="Helvetica Neue"/>
            <w:sz w:val="28"/>
            <w:szCs w:val="28"/>
            <w:u w:color="2E4A8B"/>
            <w:shd w:val="clear" w:color="auto" w:fill="FEFFFE"/>
          </w:rPr>
          <w:t>Table 2</w:t>
        </w:r>
      </w:hyperlink>
      <w:r w:rsidRPr="001E0B75">
        <w:rPr>
          <w:rFonts w:ascii="Times New Roman" w:hAnsi="Times New Roman"/>
          <w:sz w:val="28"/>
          <w:szCs w:val="28"/>
          <w:u w:color="2E4A8B"/>
          <w:shd w:val="clear" w:color="auto" w:fill="FEFFFE"/>
        </w:rPr>
        <w:t xml:space="preserve"> includes selected percentiles for mean levels for the various LDL-related markers from the Framingham Offspring Study (</w:t>
      </w:r>
      <w:r w:rsidRPr="001E0B75">
        <w:rPr>
          <w:rStyle w:val="Hyperlink1"/>
          <w:rFonts w:ascii="Times New Roman" w:hAnsi="Times New Roman" w:cs="Helvetica Neue"/>
          <w:sz w:val="28"/>
          <w:szCs w:val="28"/>
          <w:u w:color="2E4A8B"/>
          <w:shd w:val="clear" w:color="auto" w:fill="FEFFFE"/>
        </w:rPr>
        <w:t>472</w:t>
      </w:r>
      <w:r w:rsidRPr="001E0B75">
        <w:rPr>
          <w:rFonts w:ascii="Times New Roman" w:hAnsi="Times New Roman"/>
          <w:sz w:val="28"/>
          <w:szCs w:val="28"/>
          <w:u w:color="2E4A8B"/>
          <w:shd w:val="clear" w:color="auto" w:fill="FEFFFE"/>
        </w:rPr>
        <w:t>). In an analysis of the Framingham Offspring Study, LDL-P determined by NMR was more strongly related to incident CVD events than LDL-C levels, and the ability of Non-HDL-C to predict risk was less than LDL-P, but better than LDL-C (</w:t>
      </w:r>
      <w:r w:rsidRPr="001E0B75">
        <w:rPr>
          <w:rStyle w:val="Hyperlink1"/>
          <w:rFonts w:ascii="Times New Roman" w:hAnsi="Times New Roman" w:cs="Helvetica Neue"/>
          <w:sz w:val="28"/>
          <w:szCs w:val="28"/>
          <w:u w:color="2E4A8B"/>
          <w:shd w:val="clear" w:color="auto" w:fill="FEFFFE"/>
        </w:rPr>
        <w:t>473</w:t>
      </w:r>
      <w:r w:rsidRPr="001E0B75">
        <w:rPr>
          <w:rFonts w:ascii="Times New Roman" w:hAnsi="Times New Roman"/>
          <w:sz w:val="28"/>
          <w:szCs w:val="28"/>
          <w:u w:color="2E4A8B"/>
          <w:shd w:val="clear" w:color="auto" w:fill="FEFFFE"/>
        </w:rPr>
        <w:t>). In addition, they found that low LDL-P numbers were a better index of low CVD risk than low LDL-C (</w:t>
      </w:r>
      <w:r w:rsidRPr="001E0B75">
        <w:rPr>
          <w:rStyle w:val="Hyperlink1"/>
          <w:rFonts w:ascii="Times New Roman" w:hAnsi="Times New Roman" w:cs="Helvetica Neue"/>
          <w:sz w:val="28"/>
          <w:szCs w:val="28"/>
          <w:u w:color="2E4A8B"/>
          <w:shd w:val="clear" w:color="auto" w:fill="FEFFFE"/>
        </w:rPr>
        <w:t>473</w:t>
      </w:r>
      <w:r w:rsidRPr="001E0B75">
        <w:rPr>
          <w:rFonts w:ascii="Times New Roman" w:hAnsi="Times New Roman"/>
          <w:sz w:val="28"/>
          <w:szCs w:val="28"/>
          <w:u w:color="2E4A8B"/>
          <w:shd w:val="clear" w:color="auto" w:fill="FEFFFE"/>
        </w:rPr>
        <w:t>). In contrast, an earlier meta-analysis from the Emerging Risk Factors Collaboration found LDL-C, Non-HDL and apoB to be equivalent markers of CVE (</w:t>
      </w:r>
      <w:r w:rsidRPr="001E0B75">
        <w:rPr>
          <w:rStyle w:val="Hyperlink1"/>
          <w:rFonts w:ascii="Times New Roman" w:hAnsi="Times New Roman" w:cs="Helvetica Neue"/>
          <w:sz w:val="28"/>
          <w:szCs w:val="28"/>
          <w:u w:color="2E4A8B"/>
          <w:shd w:val="clear" w:color="auto" w:fill="FEFFFE"/>
        </w:rPr>
        <w:t>474</w:t>
      </w:r>
      <w:r w:rsidRPr="001E0B75">
        <w:rPr>
          <w:rFonts w:ascii="Times New Roman" w:hAnsi="Times New Roman"/>
          <w:sz w:val="28"/>
          <w:szCs w:val="28"/>
          <w:u w:color="2E4A8B"/>
          <w:shd w:val="clear" w:color="auto" w:fill="FEFFFE"/>
        </w:rPr>
        <w:t>). The lack of difference may relate to the population studied. When the LDL particles have normal cholesterol content, then LDL-C, Non-HDL and apoB are equivalent markers (</w:t>
      </w:r>
      <w:hyperlink r:id="rId13" w:history="1">
        <w:r w:rsidRPr="001E0B75">
          <w:rPr>
            <w:rStyle w:val="Hyperlink1"/>
            <w:rFonts w:ascii="Times New Roman" w:hAnsi="Times New Roman" w:cs="Helvetica Neue"/>
            <w:sz w:val="28"/>
            <w:szCs w:val="28"/>
            <w:u w:color="2E4A8B"/>
            <w:shd w:val="clear" w:color="auto" w:fill="FEFFFE"/>
          </w:rPr>
          <w:t>Figure 8</w:t>
        </w:r>
      </w:hyperlink>
      <w:r w:rsidRPr="001E0B75">
        <w:rPr>
          <w:rFonts w:ascii="Times New Roman" w:hAnsi="Times New Roman"/>
          <w:sz w:val="28"/>
          <w:szCs w:val="28"/>
          <w:u w:color="2E4A8B"/>
          <w:shd w:val="clear" w:color="auto" w:fill="FEFFFE"/>
        </w:rPr>
        <w:t>) of risk (</w:t>
      </w:r>
      <w:r w:rsidRPr="001E0B75">
        <w:rPr>
          <w:rStyle w:val="Hyperlink1"/>
          <w:rFonts w:ascii="Times New Roman" w:hAnsi="Times New Roman" w:cs="Helvetica Neue"/>
          <w:sz w:val="28"/>
          <w:szCs w:val="28"/>
          <w:u w:color="2E4A8B"/>
          <w:shd w:val="clear" w:color="auto" w:fill="FEFFFE"/>
        </w:rPr>
        <w:t>471</w:t>
      </w:r>
      <w:r w:rsidRPr="001E0B75">
        <w:rPr>
          <w:rFonts w:ascii="Times New Roman" w:hAnsi="Times New Roman"/>
          <w:sz w:val="28"/>
          <w:szCs w:val="28"/>
          <w:u w:color="2E4A8B"/>
          <w:shd w:val="clear" w:color="auto" w:fill="FEFFFE"/>
        </w:rPr>
        <w:t>,</w:t>
      </w:r>
      <w:r w:rsidRPr="001E0B75">
        <w:rPr>
          <w:rStyle w:val="Hyperlink1"/>
          <w:rFonts w:ascii="Times New Roman" w:hAnsi="Times New Roman" w:cs="Helvetica Neue"/>
          <w:sz w:val="28"/>
          <w:szCs w:val="28"/>
          <w:u w:color="2E4A8B"/>
          <w:shd w:val="clear" w:color="auto" w:fill="FEFFFE"/>
        </w:rPr>
        <w:t>473</w:t>
      </w:r>
      <w:r w:rsidRPr="001E0B75">
        <w:rPr>
          <w:rFonts w:ascii="Times New Roman" w:hAnsi="Times New Roman"/>
          <w:sz w:val="28"/>
          <w:szCs w:val="28"/>
          <w:u w:color="2E4A8B"/>
          <w:shd w:val="clear" w:color="auto" w:fill="FEFFFE"/>
        </w:rPr>
        <w:t>). Interestingly, data from the Multi-Ethnic Study of Atherosclerosis (MESA) demonstrated that when LDL-C and LDL-P are discordant (</w:t>
      </w:r>
      <w:hyperlink r:id="rId14" w:history="1">
        <w:r w:rsidRPr="001E0B75">
          <w:rPr>
            <w:rStyle w:val="Hyperlink1"/>
            <w:rFonts w:ascii="Times New Roman" w:hAnsi="Times New Roman" w:cs="Helvetica Neue"/>
            <w:sz w:val="28"/>
            <w:szCs w:val="28"/>
            <w:u w:color="2E4A8B"/>
            <w:shd w:val="clear" w:color="auto" w:fill="FEFFFE"/>
          </w:rPr>
          <w:t>Figure 8</w:t>
        </w:r>
      </w:hyperlink>
      <w:r w:rsidRPr="001E0B75">
        <w:rPr>
          <w:rFonts w:ascii="Times New Roman" w:hAnsi="Times New Roman"/>
          <w:sz w:val="28"/>
          <w:szCs w:val="28"/>
          <w:u w:color="2E4A8B"/>
          <w:shd w:val="clear" w:color="auto" w:fill="FEFFFE"/>
        </w:rPr>
        <w:t>), then LDL-P proves to be a better predictor of risk for incident CVD events than LDL-C (</w:t>
      </w:r>
      <w:r w:rsidRPr="001E0B75">
        <w:rPr>
          <w:rStyle w:val="Hyperlink1"/>
          <w:rFonts w:ascii="Times New Roman" w:hAnsi="Times New Roman" w:cs="Helvetica Neue"/>
          <w:sz w:val="28"/>
          <w:szCs w:val="28"/>
          <w:u w:color="2E4A8B"/>
          <w:shd w:val="clear" w:color="auto" w:fill="FEFFFE"/>
        </w:rPr>
        <w:t>475</w:t>
      </w:r>
      <w:r w:rsidRPr="001E0B75">
        <w:rPr>
          <w:rFonts w:ascii="Times New Roman" w:hAnsi="Times New Roman"/>
          <w:sz w:val="28"/>
          <w:szCs w:val="28"/>
          <w:u w:color="2E4A8B"/>
          <w:shd w:val="clear" w:color="auto" w:fill="FEFFFE"/>
        </w:rPr>
        <w:t>).</w:t>
      </w:r>
    </w:p>
    <w:p w:rsidR="00FD148F" w:rsidRPr="001E0B75" w:rsidRDefault="00FD148F">
      <w:pPr>
        <w:pStyle w:val="a0"/>
        <w:pBdr>
          <w:top w:val="none" w:sz="0" w:space="0" w:color="auto"/>
          <w:left w:val="none" w:sz="0" w:space="0" w:color="auto"/>
          <w:bottom w:val="none" w:sz="0" w:space="0" w:color="auto"/>
          <w:right w:val="none" w:sz="0" w:space="0" w:color="auto"/>
          <w:bar w:val="none" w:sz="0" w:color="auto"/>
        </w:pBdr>
        <w:rPr>
          <w:sz w:val="28"/>
          <w:szCs w:val="28"/>
        </w:rPr>
      </w:pPr>
    </w:p>
    <w:sectPr w:rsidR="00FD148F" w:rsidRPr="001E0B75" w:rsidSect="00727F06">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48F" w:rsidRDefault="00FD148F" w:rsidP="00727F06">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r>
        <w:rPr>
          <w:rFonts w:ascii="Times New Roman" w:eastAsia="新細明體" w:hAnsi="Times New Roman" w:cs="Times New Roman"/>
          <w:color w:val="auto"/>
          <w:sz w:val="24"/>
          <w:szCs w:val="24"/>
          <w:lang w:eastAsia="en-US"/>
        </w:rPr>
        <w:separator/>
      </w:r>
    </w:p>
  </w:endnote>
  <w:endnote w:type="continuationSeparator" w:id="0">
    <w:p w:rsidR="00FD148F" w:rsidRDefault="00FD148F" w:rsidP="00727F06">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r>
        <w:rPr>
          <w:rFonts w:ascii="Times New Roman" w:eastAsia="新細明體" w:hAnsi="Times New Roman" w:cs="Times New Roman"/>
          <w:color w:val="auto"/>
          <w:sz w:val="24"/>
          <w:szCs w:val="24"/>
          <w:lang w:eastAsia="en-US"/>
        </w:rP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48F" w:rsidRDefault="00FD148F">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48F" w:rsidRDefault="00FD148F" w:rsidP="00727F06">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r>
        <w:rPr>
          <w:rFonts w:ascii="Times New Roman" w:eastAsia="新細明體" w:hAnsi="Times New Roman" w:cs="Times New Roman"/>
          <w:color w:val="auto"/>
          <w:sz w:val="24"/>
          <w:szCs w:val="24"/>
          <w:lang w:eastAsia="en-US"/>
        </w:rPr>
        <w:separator/>
      </w:r>
    </w:p>
  </w:footnote>
  <w:footnote w:type="continuationSeparator" w:id="0">
    <w:p w:rsidR="00FD148F" w:rsidRDefault="00FD148F" w:rsidP="00727F06">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r>
        <w:rPr>
          <w:rFonts w:ascii="Times New Roman" w:eastAsia="新細明體" w:hAnsi="Times New Roman" w:cs="Times New Roman"/>
          <w:color w:val="auto"/>
          <w:sz w:val="24"/>
          <w:szCs w:val="24"/>
          <w:lang w:eastAsia="en-US"/>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48F" w:rsidRDefault="00FD148F">
    <w:pPr>
      <w:pBdr>
        <w:top w:val="none" w:sz="0" w:space="0" w:color="auto"/>
        <w:left w:val="none" w:sz="0" w:space="0" w:color="auto"/>
        <w:bottom w:val="none" w:sz="0" w:space="0" w:color="auto"/>
        <w:right w:val="none" w:sz="0" w:space="0" w:color="auto"/>
        <w:bar w:val="none" w:sz="0" w:color="auto"/>
      </w:pBdr>
      <w:rPr>
        <w:rFonts w:ascii="Times New Roman" w:eastAsia="新細明體" w:hAnsi="Times New Roman" w:cs="Times New Roman"/>
        <w:color w:val="auto"/>
        <w:sz w:val="24"/>
        <w:szCs w:val="24"/>
        <w:lang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84796"/>
    <w:multiLevelType w:val="multilevel"/>
    <w:tmpl w:val="00A2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720"/>
  <w:characterSpacingControl w:val="doNotCompress"/>
  <w:noLineBreaksAfter w:lang="zh-TW" w:val="([{£¥‘“‵〈《「『【〔〝︵︷︹︻︽︿﹁﹃﹙﹛﹝（｛"/>
  <w:noLineBreaksBefore w:lang="zh-TW" w:va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7F06"/>
    <w:rsid w:val="00103C7F"/>
    <w:rsid w:val="001E0B75"/>
    <w:rsid w:val="002D171A"/>
    <w:rsid w:val="003D7513"/>
    <w:rsid w:val="00727F06"/>
    <w:rsid w:val="0080508A"/>
    <w:rsid w:val="008622B2"/>
    <w:rsid w:val="00873C82"/>
    <w:rsid w:val="009B6BE9"/>
    <w:rsid w:val="00A72530"/>
    <w:rsid w:val="00AA0155"/>
    <w:rsid w:val="00EA34D7"/>
    <w:rsid w:val="00FD148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F0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kern w:val="0"/>
      <w:sz w:val="22"/>
    </w:rPr>
  </w:style>
  <w:style w:type="paragraph" w:styleId="Heading1">
    <w:name w:val="heading 1"/>
    <w:basedOn w:val="Normal"/>
    <w:link w:val="Heading1Char"/>
    <w:uiPriority w:val="99"/>
    <w:qFormat/>
    <w:locked/>
    <w:rsid w:val="001E0B75"/>
    <w:pPr>
      <w:pBdr>
        <w:top w:val="none" w:sz="0" w:space="0" w:color="auto"/>
        <w:left w:val="none" w:sz="0" w:space="0" w:color="auto"/>
        <w:bottom w:val="none" w:sz="0" w:space="0" w:color="auto"/>
        <w:right w:val="none" w:sz="0" w:space="0" w:color="auto"/>
        <w:bar w:val="none" w:sz="0" w:color="auto"/>
      </w:pBdr>
      <w:spacing w:before="100" w:beforeAutospacing="1" w:after="100" w:afterAutospacing="1"/>
      <w:outlineLvl w:val="0"/>
    </w:pPr>
    <w:rPr>
      <w:rFonts w:ascii="新細明體" w:eastAsia="新細明體" w:hAnsi="新細明體" w:cs="新細明體"/>
      <w:b/>
      <w:bCs/>
      <w:color w:val="auto"/>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530"/>
    <w:rPr>
      <w:rFonts w:ascii="Cambria" w:eastAsia="新細明體" w:hAnsi="Cambria" w:cs="Times New Roman"/>
      <w:b/>
      <w:bCs/>
      <w:color w:val="000000"/>
      <w:kern w:val="52"/>
      <w:sz w:val="52"/>
      <w:szCs w:val="52"/>
    </w:rPr>
  </w:style>
  <w:style w:type="character" w:styleId="Hyperlink">
    <w:name w:val="Hyperlink"/>
    <w:basedOn w:val="DefaultParagraphFont"/>
    <w:uiPriority w:val="99"/>
    <w:rsid w:val="00727F06"/>
    <w:rPr>
      <w:rFonts w:cs="Times New Roman"/>
      <w:u w:val="single"/>
    </w:rPr>
  </w:style>
  <w:style w:type="character" w:customStyle="1" w:styleId="Hyperlink0">
    <w:name w:val="Hyperlink.0"/>
    <w:basedOn w:val="Hyperlink"/>
    <w:uiPriority w:val="99"/>
    <w:rsid w:val="00727F06"/>
  </w:style>
  <w:style w:type="paragraph" w:customStyle="1" w:styleId="a">
    <w:name w:val="紅色標題"/>
    <w:next w:val="Normal"/>
    <w:uiPriority w:val="99"/>
    <w:rsid w:val="00727F06"/>
    <w:pPr>
      <w:keepNext/>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rFonts w:ascii="Helvetica Neue" w:eastAsia="Arial Unicode MS" w:hAnsi="Helvetica Neue" w:cs="Arial Unicode MS"/>
      <w:b/>
      <w:bCs/>
      <w:color w:val="ED220B"/>
      <w:kern w:val="0"/>
      <w:sz w:val="32"/>
      <w:szCs w:val="32"/>
    </w:rPr>
  </w:style>
  <w:style w:type="paragraph" w:customStyle="1" w:styleId="a0">
    <w:name w:val="預設值"/>
    <w:uiPriority w:val="99"/>
    <w:rsid w:val="00727F0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Helvetica Neue"/>
      <w:color w:val="000000"/>
      <w:kern w:val="0"/>
      <w:sz w:val="22"/>
    </w:rPr>
  </w:style>
  <w:style w:type="character" w:customStyle="1" w:styleId="a1">
    <w:name w:val="無"/>
    <w:uiPriority w:val="99"/>
    <w:rsid w:val="00727F06"/>
  </w:style>
  <w:style w:type="character" w:customStyle="1" w:styleId="Hyperlink1">
    <w:name w:val="Hyperlink.1"/>
    <w:basedOn w:val="a1"/>
    <w:uiPriority w:val="99"/>
    <w:rsid w:val="00727F06"/>
    <w:rPr>
      <w:rFonts w:cs="Times New Roman"/>
      <w:color w:val="2E4A8B"/>
      <w:u w:val="single"/>
    </w:rPr>
  </w:style>
  <w:style w:type="character" w:customStyle="1" w:styleId="title">
    <w:name w:val="title"/>
    <w:basedOn w:val="DefaultParagraphFont"/>
    <w:uiPriority w:val="99"/>
    <w:rsid w:val="001E0B75"/>
    <w:rPr>
      <w:rFonts w:cs="Times New Roman"/>
    </w:rPr>
  </w:style>
  <w:style w:type="paragraph" w:customStyle="1" w:styleId="contrib-group">
    <w:name w:val="contrib-group"/>
    <w:basedOn w:val="Normal"/>
    <w:uiPriority w:val="99"/>
    <w:rsid w:val="001E0B7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新細明體" w:eastAsia="新細明體" w:hAnsi="新細明體" w:cs="新細明體"/>
      <w:color w:val="auto"/>
      <w:sz w:val="24"/>
      <w:szCs w:val="24"/>
    </w:rPr>
  </w:style>
  <w:style w:type="character" w:customStyle="1" w:styleId="apple-converted-space">
    <w:name w:val="apple-converted-space"/>
    <w:basedOn w:val="DefaultParagraphFont"/>
    <w:uiPriority w:val="99"/>
    <w:rsid w:val="001E0B75"/>
    <w:rPr>
      <w:rFonts w:cs="Times New Roman"/>
    </w:rPr>
  </w:style>
  <w:style w:type="character" w:customStyle="1" w:styleId="ui-ncbitoggler-master-text">
    <w:name w:val="ui-ncbitoggler-master-text"/>
    <w:basedOn w:val="DefaultParagraphFont"/>
    <w:uiPriority w:val="99"/>
    <w:rsid w:val="001E0B75"/>
    <w:rPr>
      <w:rFonts w:cs="Times New Roman"/>
    </w:rPr>
  </w:style>
  <w:style w:type="paragraph" w:customStyle="1" w:styleId="small">
    <w:name w:val="small"/>
    <w:basedOn w:val="Normal"/>
    <w:uiPriority w:val="99"/>
    <w:rsid w:val="001E0B7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新細明體" w:eastAsia="新細明體" w:hAnsi="新細明體" w:cs="新細明體"/>
      <w:color w:val="auto"/>
      <w:sz w:val="24"/>
      <w:szCs w:val="24"/>
    </w:rPr>
  </w:style>
</w:styles>
</file>

<file path=word/webSettings.xml><?xml version="1.0" encoding="utf-8"?>
<w:webSettings xmlns:r="http://schemas.openxmlformats.org/officeDocument/2006/relationships" xmlns:w="http://schemas.openxmlformats.org/wordprocessingml/2006/main">
  <w:divs>
    <w:div w:id="1218511760">
      <w:marLeft w:val="0"/>
      <w:marRight w:val="0"/>
      <w:marTop w:val="0"/>
      <w:marBottom w:val="0"/>
      <w:divBdr>
        <w:top w:val="none" w:sz="0" w:space="0" w:color="auto"/>
        <w:left w:val="none" w:sz="0" w:space="0" w:color="auto"/>
        <w:bottom w:val="none" w:sz="0" w:space="0" w:color="auto"/>
        <w:right w:val="none" w:sz="0" w:space="0" w:color="auto"/>
      </w:divBdr>
    </w:div>
    <w:div w:id="12185117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dotext.org/" TargetMode="External"/><Relationship Id="rId13" Type="http://schemas.openxmlformats.org/officeDocument/2006/relationships/hyperlink" Target="https://www.ncbi.nlm.nih.gov/books/NBK343489/figure/lipid_athero.F8/?report=objectonl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books/NBK343489/" TargetMode="External"/><Relationship Id="rId12" Type="http://schemas.openxmlformats.org/officeDocument/2006/relationships/hyperlink" Target="https://www.ncbi.nlm.nih.gov/books/NBK343489/table/lipid_athero.T.equivalent_percentiles_in/?report=objectonl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cbi.nlm.nih.gov/books/NBK343489/figure/lipid_athero.F8/?report=objectonly" TargetMode="External"/><Relationship Id="rId4" Type="http://schemas.openxmlformats.org/officeDocument/2006/relationships/webSettings" Target="webSettings.xml"/><Relationship Id="rId9" Type="http://schemas.openxmlformats.org/officeDocument/2006/relationships/hyperlink" Target="https://www.ncbi.nlm.nih.gov/books/NBK343489/figure/lipid_athero.F8/?report=objectonly" TargetMode="External"/><Relationship Id="rId14" Type="http://schemas.openxmlformats.org/officeDocument/2006/relationships/hyperlink" Target="https://www.ncbi.nlm.nih.gov/books/NBK343489/figure/lipid_athero.F8/?report=objecton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956</Words>
  <Characters>5454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
  <cp:keywords/>
  <dc:description/>
  <cp:lastModifiedBy>ZiyouXP</cp:lastModifiedBy>
  <cp:revision>2</cp:revision>
  <cp:lastPrinted>2019-11-07T05:46:00Z</cp:lastPrinted>
  <dcterms:created xsi:type="dcterms:W3CDTF">2020-07-13T01:11:00Z</dcterms:created>
  <dcterms:modified xsi:type="dcterms:W3CDTF">2020-07-13T01:11:00Z</dcterms:modified>
</cp:coreProperties>
</file>